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A2A2D">
      <w:pPr>
        <w:pStyle w:val="2"/>
      </w:pPr>
      <w:r>
        <w:t>3　实验：电池电动势和内阻的测量</w:t>
      </w:r>
    </w:p>
    <w:p w14:paraId="50974F78">
      <w:pPr>
        <w:pStyle w:val="2"/>
      </w:pPr>
      <w:r>
        <w:t>第1课时</w:t>
      </w:r>
      <w:r>
        <w:rPr>
          <w:rFonts w:hint="eastAsia" w:ascii="微软雅黑" w:hAnsi="微软雅黑" w:eastAsia="微软雅黑" w:cs="微软雅黑"/>
        </w:rPr>
        <w:t>　</w:t>
      </w:r>
      <w:r>
        <w:rPr>
          <w:rFonts w:hint="eastAsia" w:ascii="幼圆" w:hAnsi="幼圆" w:cs="幼圆"/>
        </w:rPr>
        <w:t>伏安法测电池电动势和内阻</w:t>
      </w:r>
    </w:p>
    <w:p w14:paraId="51EDDDC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知道伏安法测电池电动势和内阻的原理，进一步理解路端电压随电流变化的关系(重点)。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会用图像处理实验数据(重点)。</w:t>
      </w:r>
      <w:r>
        <w:rPr>
          <w:rFonts w:ascii="Times New Roman" w:hAnsi="Times New Roman"/>
        </w:rPr>
        <w:t>3.</w:t>
      </w:r>
      <w:r>
        <w:rPr>
          <w:rFonts w:ascii="Times New Roman" w:hAnsi="Times New Roman" w:eastAsia="新宋体"/>
        </w:rPr>
        <w:t>尝试进行电池电动势和内阻测量误差分析，了解测量中减小误差的方法(重难点)。</w:t>
      </w:r>
    </w:p>
    <w:p w14:paraId="433297A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黑体"/>
          <w:w w:val="104"/>
        </w:rPr>
      </w:pPr>
      <w:r>
        <w:rPr>
          <w:rFonts w:ascii="Times New Roman" w:hAnsi="Times New Roman" w:eastAsia="黑体"/>
          <w:w w:val="104"/>
        </w:rPr>
        <w:t>一、实验思路</w:t>
      </w:r>
    </w:p>
    <w:p w14:paraId="46BCB10A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758825" cy="612775"/>
            <wp:effectExtent l="0" t="0" r="3175" b="0"/>
            <wp:docPr id="1283" name="image6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" name="image67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82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D593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由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知，改变外电路的阻值可测出多组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的值，通过图像可求出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的值。实验电路如图所示。 </w:t>
      </w:r>
    </w:p>
    <w:p w14:paraId="78FB353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黑体"/>
          <w:w w:val="104"/>
        </w:rPr>
      </w:pPr>
      <w:r>
        <w:rPr>
          <w:rFonts w:ascii="Times New Roman" w:hAnsi="Times New Roman" w:eastAsia="黑体"/>
          <w:w w:val="104"/>
        </w:rPr>
        <w:t>二、物理量的测量</w:t>
      </w:r>
    </w:p>
    <w:p w14:paraId="4D0242C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实验中需要测量</w:t>
      </w:r>
      <w:r>
        <w:rPr>
          <w:rFonts w:ascii="Times New Roman" w:hAnsi="Times New Roman"/>
          <w:w w:val="104"/>
          <w:u w:val="single"/>
        </w:rPr>
        <w:t>　　　　　　　</w:t>
      </w:r>
      <w:r>
        <w:rPr>
          <w:rFonts w:ascii="Times New Roman" w:hAnsi="Times New Roman"/>
          <w:w w:val="104"/>
        </w:rPr>
        <w:t>和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两个物理量。而仅测两组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数据，联立方程解得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，误差可能较大，只有多次测量，并对数据进行处理，才能减小误差。所以应该使用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改变外电路电阻，进行多次测量。 </w:t>
      </w:r>
    </w:p>
    <w:p w14:paraId="1E8FC32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黑体"/>
          <w:w w:val="104"/>
        </w:rPr>
      </w:pPr>
      <w:r>
        <w:rPr>
          <w:rFonts w:ascii="Times New Roman" w:hAnsi="Times New Roman" w:eastAsia="黑体"/>
          <w:w w:val="104"/>
        </w:rPr>
        <w:t>三、数据分析</w:t>
      </w:r>
    </w:p>
    <w:p w14:paraId="55DE648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1.计算法：由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+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，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可解得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I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−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I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I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−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I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−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I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−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I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。可以利用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的值多求几组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的值，算出它们的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61037B0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2.作图法：</w:t>
      </w:r>
    </w:p>
    <w:p w14:paraId="3FDEBF7F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899160" cy="828675"/>
            <wp:effectExtent l="0" t="0" r="0" b="9525"/>
            <wp:docPr id="1288" name="image6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" name="image67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06EE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(1)以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为纵坐标，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为横坐标，建立平面直角坐标系，根据几组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的测量数据，在坐标系中描点，作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图像，如图所示。</w:t>
      </w:r>
    </w:p>
    <w:p w14:paraId="1714809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(2)将图线两侧延长，纵轴截距是断路时的路端电压，这时的电压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等于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；横轴截距是路端电压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=0时的电流，它的数值就是短路电流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短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。 </w:t>
      </w:r>
    </w:p>
    <w:p w14:paraId="632D727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(3)图线斜率的绝对值为</w:t>
      </w:r>
      <w:r>
        <w:rPr>
          <w:rFonts w:ascii="Times New Roman" w:hAnsi="Times New Roman"/>
          <w:w w:val="104"/>
          <w:u w:val="single"/>
        </w:rPr>
        <w:t>　　　　　　　</w:t>
      </w:r>
      <w:r>
        <w:rPr>
          <w:rFonts w:ascii="Times New Roman" w:hAnsi="Times New Roman"/>
          <w:w w:val="104"/>
        </w:rPr>
        <w:t>，即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=|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m:rPr/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|=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I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短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。 </w:t>
      </w:r>
    </w:p>
    <w:p w14:paraId="7277F79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3.误差分析</w:t>
      </w:r>
    </w:p>
    <w:p w14:paraId="6DEA3F7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(1)偶然误差：主要来源于电压表和电流表的读数以及作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图像时描点不准确。</w:t>
      </w:r>
    </w:p>
    <w:p w14:paraId="3CEF8609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1080135"/>
            <wp:effectExtent l="0" t="0" r="5715" b="5715"/>
            <wp:docPr id="1295" name="image6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" name="image67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AEF4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(2)系统误差：主要原因是未考虑电压表的分流作用，使得电流表上读出的数值比实际的总电流(即流过电源的电流)要小一些。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越大，电流表的读数与总电流的偏差就越大，将测量结果与真实情况在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坐标系中表示出来，如图所示，可见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测</w:t>
      </w:r>
      <w:r>
        <w:rPr>
          <w:rFonts w:ascii="Times New Roman" w:hAnsi="Times New Roman"/>
          <w:w w:val="104"/>
        </w:rPr>
        <w:t>&lt;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真</w:t>
      </w:r>
      <w:r>
        <w:rPr>
          <w:rFonts w:ascii="Times New Roman" w:hAnsi="Times New Roman"/>
          <w:w w:val="104"/>
        </w:rPr>
        <w:t>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测</w:t>
      </w:r>
      <w:r>
        <w:rPr>
          <w:rFonts w:ascii="Times New Roman" w:hAnsi="Times New Roman"/>
          <w:w w:val="104"/>
        </w:rPr>
        <w:t>&lt;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真</w:t>
      </w:r>
      <w:r>
        <w:rPr>
          <w:rFonts w:ascii="Times New Roman" w:hAnsi="Times New Roman"/>
          <w:w w:val="104"/>
        </w:rPr>
        <w:t>。</w:t>
      </w:r>
    </w:p>
    <w:p w14:paraId="5605770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  <w:w w:val="104"/>
        </w:rPr>
        <w:t>说明</w:t>
      </w:r>
      <w:r>
        <w:rPr>
          <w:rFonts w:ascii="Times New Roman" w:hAnsi="Times New Roman"/>
        </w:rPr>
        <w:t>：</w:t>
      </w:r>
      <w:r>
        <w:rPr>
          <w:rFonts w:ascii="Times New Roman" w:hAnsi="Times New Roman" w:eastAsia="楷体"/>
        </w:rPr>
        <w:t>因电压表内阻通常比电池内阻大很多，电压表的分流作用不明显，本方案误差较小。</w:t>
      </w:r>
    </w:p>
    <w:p w14:paraId="650EBCB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4.电路的选择</w:t>
      </w:r>
    </w:p>
    <w:p w14:paraId="249470A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伏安法测电动势和内阻还有另外一种接法如图乙所示，此种接法的系统误差来自电流表分压，(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测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真</w:t>
      </w:r>
      <w:r>
        <w:rPr>
          <w:rFonts w:ascii="Times New Roman" w:hAnsi="Times New Roman"/>
          <w:w w:val="104"/>
        </w:rPr>
        <w:t>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测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真</w:t>
      </w:r>
      <w:r>
        <w:rPr>
          <w:rFonts w:ascii="Times New Roman" w:hAnsi="Times New Roman"/>
          <w:w w:val="104"/>
        </w:rPr>
        <w:t>+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A</w:t>
      </w:r>
      <w:r>
        <w:rPr>
          <w:rFonts w:ascii="Times New Roman" w:hAnsi="Times New Roman"/>
          <w:w w:val="104"/>
        </w:rPr>
        <w:t>)由于电流表内阻和干电池电源的内阻接近，误差较大，所以一般选择误差较小的甲电路图。</w:t>
      </w:r>
    </w:p>
    <w:p w14:paraId="659EADF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但是若已知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A</w:t>
      </w:r>
      <w:r>
        <w:rPr>
          <w:rFonts w:ascii="Times New Roman" w:hAnsi="Times New Roman"/>
          <w:w w:val="104"/>
        </w:rPr>
        <w:t>，乙图的接法可求出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真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测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A</w:t>
      </w:r>
      <w:r>
        <w:rPr>
          <w:rFonts w:ascii="Times New Roman" w:hAnsi="Times New Roman"/>
          <w:w w:val="104"/>
        </w:rPr>
        <w:t>，此时乙图的接法无系统误差，故此种情况应优先选择乙电路图。</w:t>
      </w:r>
    </w:p>
    <w:p w14:paraId="7DD55806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979295" cy="899160"/>
            <wp:effectExtent l="0" t="0" r="1905" b="0"/>
            <wp:docPr id="1296" name="image6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" name="image67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929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477D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黑体"/>
          <w:w w:val="104"/>
        </w:rPr>
      </w:pPr>
      <w:r>
        <w:rPr>
          <w:rFonts w:ascii="Times New Roman" w:hAnsi="Times New Roman" w:eastAsia="黑体"/>
          <w:w w:val="104"/>
        </w:rPr>
        <w:t>四、注意事项</w:t>
      </w:r>
    </w:p>
    <w:p w14:paraId="07DB54E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1.为使电池的路端电压有明显变化，应选取内阻较大的旧干电池和内阻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的电压表。 </w:t>
      </w:r>
    </w:p>
    <w:p w14:paraId="503DE5A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2.实验中不能将电流调得过大，且读数要快，读完后立即切断电源，防止干电池因大电流放电时间过长导致内阻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发生明显变化。</w:t>
      </w:r>
    </w:p>
    <w:p w14:paraId="1516F50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 当干电池的路端电压变化不很明显时，作图像，纵轴起点可不从零开始。如图所示，此时图线与纵轴交点仍为电池的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，但图线与横轴交点不再是短路电流，内阻要在直线上取较远的两点，用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=|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m:rPr/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|求出。 </w:t>
      </w:r>
    </w:p>
    <w:p w14:paraId="30745907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09650" cy="864235"/>
            <wp:effectExtent l="0" t="0" r="0" b="0"/>
            <wp:docPr id="1297" name="image6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" name="image67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0AC2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00" name="image6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" name="image67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01" name="image6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" name="image67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104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盐城市高二月考)</w:t>
      </w:r>
      <w:r>
        <w:rPr>
          <w:rFonts w:ascii="Times New Roman" w:hAnsi="Times New Roman"/>
          <w:w w:val="104"/>
        </w:rPr>
        <w:t>为了测量一节干电池的电动势和内阻，备有下列器材：</w:t>
      </w:r>
    </w:p>
    <w:p w14:paraId="511348F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A.待测干电池(电动势约1.5 V，内阻约1.0 Ω)</w:t>
      </w:r>
    </w:p>
    <w:p w14:paraId="29A7336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B.电压表V(量程0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3 V，内阻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 xml:space="preserve"> V</w:t>
      </w:r>
      <w:r>
        <w:rPr>
          <w:rFonts w:ascii="Times New Roman" w:hAnsi="Times New Roman"/>
          <w:w w:val="104"/>
        </w:rPr>
        <w:t>约3 kΩ)</w:t>
      </w:r>
    </w:p>
    <w:p w14:paraId="6A7B270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C.电流表A(量程0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0.6 A，内阻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A</w:t>
      </w:r>
      <w:r>
        <w:rPr>
          <w:rFonts w:ascii="Times New Roman" w:hAnsi="Times New Roman"/>
          <w:w w:val="104"/>
        </w:rPr>
        <w:t>约1 Ω)</w:t>
      </w:r>
    </w:p>
    <w:p w14:paraId="004C3CB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D.滑动变阻器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(0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20 Ω，2 A)</w:t>
      </w:r>
    </w:p>
    <w:p w14:paraId="33913C6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F.开关和导线若干</w:t>
      </w:r>
    </w:p>
    <w:p w14:paraId="7E7194BB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934720" cy="864235"/>
            <wp:effectExtent l="0" t="0" r="0" b="0"/>
            <wp:docPr id="1302" name="image6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" name="image68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4B14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(1)某同学设计了如图甲所示的实验电路图。在闭合开关之前变阻器的滑片应移动到最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(填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左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右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)端。 </w:t>
      </w:r>
    </w:p>
    <w:p w14:paraId="4BD2208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(2)对照实验电路图把实物电路(图乙)补充完整。</w:t>
      </w:r>
    </w:p>
    <w:p w14:paraId="76736AC5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692910" cy="1366520"/>
            <wp:effectExtent l="0" t="0" r="2540" b="5080"/>
            <wp:docPr id="1303" name="image6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" name="image68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2910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9A67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(3)图丙为该同学根据实验测量数据绘出的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图线，由图线可得待测干电池的电动势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V，内阻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Ω(结果均保留3位有效数字)。 </w:t>
      </w:r>
    </w:p>
    <w:p w14:paraId="3EC64235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798955" cy="1868805"/>
            <wp:effectExtent l="0" t="0" r="0" b="0"/>
            <wp:docPr id="1304" name="image6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" name="image68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83A4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(4)本实验存在系统误差的原因是由于</w:t>
      </w:r>
      <w:r>
        <w:rPr>
          <w:rFonts w:ascii="Times New Roman" w:hAnsi="Times New Roman"/>
          <w:w w:val="104"/>
          <w:u w:val="single"/>
        </w:rPr>
        <w:t>　　　　　　　　</w:t>
      </w:r>
      <w:r>
        <w:rPr>
          <w:rFonts w:ascii="Times New Roman" w:hAnsi="Times New Roman"/>
          <w:w w:val="104"/>
        </w:rPr>
        <w:t>作用(填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电流表分压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电压表分流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)。 </w:t>
      </w:r>
    </w:p>
    <w:p w14:paraId="0971E84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05" name="image6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" name="image68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06" name="image6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" name="image68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黑龙江省龙东十校高二期中联考)</w:t>
      </w:r>
      <w:r>
        <w:rPr>
          <w:rFonts w:ascii="Times New Roman" w:hAnsi="Times New Roman"/>
          <w:w w:val="104"/>
        </w:rPr>
        <w:t>如图所示，图甲和图乙为测电源电动势和内阻的两种电路，图丙和图丁为误差分析图像，由于电流表和电压表都不是理想电表，所以测量结果存在系统误差。</w:t>
      </w:r>
    </w:p>
    <w:p w14:paraId="7911C8EC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879090" cy="899160"/>
            <wp:effectExtent l="0" t="0" r="0" b="0"/>
            <wp:docPr id="1307" name="image6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" name="image68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403A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(1)测量电源电动势和内阻，为了减小系统误差，应采用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(选填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图甲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图乙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)所示电路。 </w:t>
      </w:r>
    </w:p>
    <w:p w14:paraId="420C8FE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(2)关于图甲和图乙所示的电路，下列说法正确的是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； </w:t>
      </w:r>
    </w:p>
    <w:p w14:paraId="4A43D32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A.图甲，原理上电动势和内阻的测量值都偏小</w:t>
      </w:r>
    </w:p>
    <w:p w14:paraId="68E560D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B.图甲，产生系统误差的原因是电流表的分压作用</w:t>
      </w:r>
    </w:p>
    <w:p w14:paraId="466ECC7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C.图乙，原理上电动势和内阻的测量值都偏大</w:t>
      </w:r>
    </w:p>
    <w:p w14:paraId="2281450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D.图乙，产生系统误差的原因是电流表的分压作用</w:t>
      </w:r>
    </w:p>
    <w:p w14:paraId="70C2CDF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(3)图丙是用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(选填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图甲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图乙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)电路处理的结果，其中图线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(填</w:t>
      </w:r>
      <w:r>
        <w:rPr>
          <w:rFonts w:ascii="宋体" w:hAnsi="宋体"/>
          <w:w w:val="104"/>
        </w:rPr>
        <w:t>“</w:t>
      </w:r>
      <w:r>
        <w:rPr>
          <w:rFonts w:hint="eastAsia" w:ascii="宋体" w:hAnsi="宋体" w:cs="宋体"/>
          <w:w w:val="104"/>
        </w:rPr>
        <w:t>①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hint="eastAsia" w:ascii="宋体" w:hAnsi="宋体" w:cs="宋体"/>
          <w:w w:val="104"/>
        </w:rPr>
        <w:t>②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hint="eastAsia" w:ascii="宋体" w:hAnsi="宋体" w:cs="宋体"/>
          <w:w w:val="104"/>
        </w:rPr>
        <w:t>③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hint="eastAsia" w:ascii="宋体" w:hAnsi="宋体" w:cs="宋体"/>
          <w:w w:val="104"/>
        </w:rPr>
        <w:t>④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)表示真实图线； </w:t>
      </w:r>
    </w:p>
    <w:p w14:paraId="0F07739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(4)图丁是用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(选填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图甲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图乙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)电路处理的结果，其中图线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(选填</w:t>
      </w:r>
      <w:r>
        <w:rPr>
          <w:rFonts w:ascii="宋体" w:hAnsi="宋体"/>
          <w:w w:val="104"/>
        </w:rPr>
        <w:t>“</w:t>
      </w:r>
      <w:r>
        <w:rPr>
          <w:rFonts w:hint="eastAsia" w:ascii="宋体" w:hAnsi="宋体" w:cs="宋体"/>
          <w:w w:val="104"/>
        </w:rPr>
        <w:t>①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hint="eastAsia" w:ascii="宋体" w:hAnsi="宋体" w:cs="宋体"/>
          <w:w w:val="104"/>
        </w:rPr>
        <w:t>②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hint="eastAsia" w:ascii="宋体" w:hAnsi="宋体" w:cs="宋体"/>
          <w:w w:val="104"/>
        </w:rPr>
        <w:t>③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hint="eastAsia" w:ascii="宋体" w:hAnsi="宋体" w:cs="宋体"/>
          <w:w w:val="104"/>
        </w:rPr>
        <w:t>④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)表示测量图线。综合利用图丙与图丁，可消除因电表不理想而引起的系统误差。 </w:t>
      </w:r>
    </w:p>
    <w:p w14:paraId="0DDBC62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327650" cy="240665"/>
            <wp:effectExtent l="0" t="0" r="6350" b="698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B0CE9">
      <w:pPr>
        <w:pStyle w:val="23"/>
        <w:spacing w:line="360" w:lineRule="auto"/>
        <w:jc w:val="center"/>
        <w:rPr>
          <w:rFonts w:ascii="Times New Roman" w:hAnsi="Times New Roman" w:eastAsia="黑体"/>
          <w:sz w:val="22"/>
          <w:szCs w:val="22"/>
        </w:rPr>
      </w:pPr>
      <w:r>
        <w:rPr>
          <w:rFonts w:ascii="Times New Roman" w:hAnsi="Times New Roman" w:eastAsia="黑体"/>
          <w:sz w:val="22"/>
          <w:szCs w:val="22"/>
        </w:rPr>
        <w:t>等效电源法分析误差</w:t>
      </w:r>
    </w:p>
    <w:p w14:paraId="2B5C7A9D">
      <w:pPr>
        <w:pStyle w:val="23"/>
        <w:spacing w:line="360" w:lineRule="auto"/>
        <w:jc w:val="center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drawing>
          <wp:inline distT="0" distB="0" distL="0" distR="0">
            <wp:extent cx="2195830" cy="974725"/>
            <wp:effectExtent l="0" t="0" r="0" b="0"/>
            <wp:docPr id="21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1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583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14B68">
      <w:pPr>
        <w:pStyle w:val="23"/>
        <w:spacing w:line="360" w:lineRule="auto"/>
        <w:rPr>
          <w:rFonts w:ascii="Times New Roman" w:hAnsi="Times New Roman" w:eastAsia="楷体"/>
          <w:sz w:val="22"/>
          <w:szCs w:val="22"/>
        </w:rPr>
      </w:pPr>
      <w:r>
        <w:rPr>
          <w:rFonts w:ascii="Times New Roman" w:hAnsi="Times New Roman" w:eastAsia="楷体"/>
          <w:sz w:val="22"/>
          <w:szCs w:val="22"/>
        </w:rPr>
        <w:t>两个电路误差分析：</w:t>
      </w:r>
    </w:p>
    <w:p w14:paraId="446C5387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楷体"/>
          <w:sz w:val="22"/>
          <w:szCs w:val="22"/>
        </w:rPr>
        <w:t>图甲把</w:t>
      </w:r>
      <w:r>
        <w:rPr>
          <w:rFonts w:ascii="Times New Roman" w:hAnsi="Times New Roman"/>
          <w:sz w:val="22"/>
          <w:szCs w:val="22"/>
        </w:rPr>
        <w:drawing>
          <wp:inline distT="0" distB="0" distL="0" distR="0">
            <wp:extent cx="145415" cy="145415"/>
            <wp:effectExtent l="0" t="0" r="6985" b="6985"/>
            <wp:docPr id="218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20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楷体"/>
          <w:sz w:val="22"/>
          <w:szCs w:val="22"/>
        </w:rPr>
        <w:t>与电源等效为新的电源</w:t>
      </w:r>
    </w:p>
    <w:p w14:paraId="02241835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楷体"/>
          <w:sz w:val="22"/>
          <w:szCs w:val="22"/>
          <w:vertAlign w:val="subscript"/>
        </w:rPr>
        <w:t>测</w:t>
      </w:r>
      <w:r>
        <w:rPr>
          <w:rFonts w:ascii="Times New Roman" w:hAnsi="Times New Roman" w:eastAsia="宋体"/>
          <w:sz w:val="22"/>
          <w:szCs w:val="22"/>
        </w:rPr>
        <w:t>=</w:t>
      </w: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楷体"/>
          <w:sz w:val="22"/>
          <w:szCs w:val="22"/>
          <w:vertAlign w:val="subscript"/>
        </w:rPr>
        <w:t>真</w:t>
      </w:r>
      <w:r>
        <w:rPr>
          <w:rFonts w:ascii="Times New Roman" w:hAnsi="Times New Roman" w:eastAsia="宋体"/>
          <w:sz w:val="22"/>
          <w:szCs w:val="22"/>
        </w:rPr>
        <w:t>+</w:t>
      </w: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宋体"/>
          <w:sz w:val="22"/>
          <w:szCs w:val="22"/>
          <w:vertAlign w:val="subscript"/>
        </w:rPr>
        <w:t>A</w:t>
      </w:r>
      <w:r>
        <w:rPr>
          <w:rFonts w:ascii="Times New Roman" w:hAnsi="Times New Roman" w:eastAsia="宋体"/>
          <w:sz w:val="22"/>
          <w:szCs w:val="22"/>
        </w:rPr>
        <w:t>&gt;</w:t>
      </w: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楷体"/>
          <w:sz w:val="22"/>
          <w:szCs w:val="22"/>
          <w:vertAlign w:val="subscript"/>
        </w:rPr>
        <w:t>真</w:t>
      </w:r>
      <w:r>
        <w:rPr>
          <w:rFonts w:ascii="Times New Roman" w:hAnsi="Times New Roman" w:eastAsia="楷体"/>
          <w:sz w:val="22"/>
          <w:szCs w:val="22"/>
        </w:rPr>
        <w:t>，</w:t>
      </w:r>
      <w:r>
        <w:rPr>
          <w:rFonts w:ascii="Times New Roman" w:hAnsi="Times New Roman" w:eastAsia="宋体"/>
          <w:i/>
          <w:sz w:val="22"/>
          <w:szCs w:val="22"/>
        </w:rPr>
        <w:t>E</w:t>
      </w:r>
      <w:r>
        <w:rPr>
          <w:rFonts w:ascii="Times New Roman" w:hAnsi="Times New Roman" w:eastAsia="楷体"/>
          <w:sz w:val="22"/>
          <w:szCs w:val="22"/>
          <w:vertAlign w:val="subscript"/>
        </w:rPr>
        <w:t>测</w:t>
      </w:r>
      <w:r>
        <w:rPr>
          <w:rFonts w:ascii="Times New Roman" w:hAnsi="Times New Roman" w:eastAsia="宋体"/>
          <w:sz w:val="22"/>
          <w:szCs w:val="22"/>
        </w:rPr>
        <w:t>=</w:t>
      </w:r>
      <w:r>
        <w:rPr>
          <w:rFonts w:ascii="Times New Roman" w:hAnsi="Times New Roman" w:eastAsia="宋体"/>
          <w:i/>
          <w:sz w:val="22"/>
          <w:szCs w:val="22"/>
        </w:rPr>
        <w:t>E</w:t>
      </w:r>
      <w:r>
        <w:rPr>
          <w:rFonts w:ascii="Times New Roman" w:hAnsi="Times New Roman" w:eastAsia="楷体"/>
          <w:sz w:val="22"/>
          <w:szCs w:val="22"/>
          <w:vertAlign w:val="subscript"/>
        </w:rPr>
        <w:t>真</w:t>
      </w:r>
    </w:p>
    <w:p w14:paraId="59D146D3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楷体"/>
          <w:sz w:val="22"/>
          <w:szCs w:val="22"/>
        </w:rPr>
        <w:t>图乙把</w:t>
      </w:r>
      <w:r>
        <w:rPr>
          <w:rFonts w:ascii="Times New Roman" w:hAnsi="Times New Roman"/>
          <w:sz w:val="22"/>
          <w:szCs w:val="22"/>
        </w:rPr>
        <w:drawing>
          <wp:inline distT="0" distB="0" distL="0" distR="0">
            <wp:extent cx="145415" cy="145415"/>
            <wp:effectExtent l="0" t="0" r="6985" b="6985"/>
            <wp:docPr id="21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2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楷体"/>
          <w:sz w:val="22"/>
          <w:szCs w:val="22"/>
        </w:rPr>
        <w:t>与电源等效为新的电源</w:t>
      </w:r>
    </w:p>
    <w:p w14:paraId="7F6C782B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楷体"/>
          <w:sz w:val="22"/>
          <w:szCs w:val="22"/>
          <w:vertAlign w:val="subscript"/>
        </w:rPr>
        <w:t>测</w:t>
      </w:r>
      <w:r>
        <w:rPr>
          <w:rFonts w:ascii="Times New Roman" w:hAnsi="Times New Roman" w:eastAsia="宋体"/>
          <w:sz w:val="22"/>
          <w:szCs w:val="22"/>
        </w:rPr>
        <w:t>=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真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ub>
            </m:sSub>
            <m:ctrlPr>
              <w:rPr>
                <w:rFonts w:ascii="Cambria Math" w:hAnsi="Cambria Math"/>
                <w:sz w:val="22"/>
                <w:szCs w:val="22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真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ub>
            </m:sSub>
            <m:ctrlPr>
              <w:rPr>
                <w:rFonts w:ascii="Cambria Math" w:hAnsi="Cambria Math"/>
                <w:sz w:val="22"/>
                <w:szCs w:val="22"/>
              </w:rPr>
            </m:ctrlPr>
          </m:den>
        </m:f>
      </m:oMath>
      <w:r>
        <w:rPr>
          <w:rFonts w:ascii="Times New Roman" w:hAnsi="Times New Roman" w:eastAsia="宋体"/>
          <w:sz w:val="22"/>
          <w:szCs w:val="22"/>
        </w:rPr>
        <w:t>&lt;</w:t>
      </w: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楷体"/>
          <w:sz w:val="22"/>
          <w:szCs w:val="22"/>
          <w:vertAlign w:val="subscript"/>
        </w:rPr>
        <w:t>真</w:t>
      </w:r>
      <w:r>
        <w:rPr>
          <w:rFonts w:ascii="Times New Roman" w:hAnsi="Times New Roman" w:eastAsia="楷体"/>
          <w:sz w:val="22"/>
          <w:szCs w:val="22"/>
        </w:rPr>
        <w:t>，</w:t>
      </w:r>
      <w:r>
        <w:rPr>
          <w:rFonts w:ascii="Times New Roman" w:hAnsi="Times New Roman" w:eastAsia="宋体"/>
          <w:i/>
          <w:sz w:val="22"/>
          <w:szCs w:val="22"/>
        </w:rPr>
        <w:t>E</w:t>
      </w:r>
      <w:r>
        <w:rPr>
          <w:rFonts w:ascii="Times New Roman" w:hAnsi="Times New Roman" w:eastAsia="楷体"/>
          <w:sz w:val="22"/>
          <w:szCs w:val="22"/>
          <w:vertAlign w:val="subscript"/>
        </w:rPr>
        <w:t>测</w:t>
      </w:r>
      <w:r>
        <w:rPr>
          <w:rFonts w:ascii="Times New Roman" w:hAnsi="Times New Roman" w:eastAsia="宋体"/>
          <w:sz w:val="22"/>
          <w:szCs w:val="22"/>
        </w:rPr>
        <w:t>&lt;</w:t>
      </w:r>
      <w:r>
        <w:rPr>
          <w:rFonts w:ascii="Times New Roman" w:hAnsi="Times New Roman" w:eastAsia="宋体"/>
          <w:i/>
          <w:sz w:val="22"/>
          <w:szCs w:val="22"/>
        </w:rPr>
        <w:t>E</w:t>
      </w:r>
      <w:r>
        <w:rPr>
          <w:rFonts w:ascii="Times New Roman" w:hAnsi="Times New Roman" w:eastAsia="楷体"/>
          <w:sz w:val="22"/>
          <w:szCs w:val="22"/>
          <w:vertAlign w:val="subscript"/>
        </w:rPr>
        <w:t>真</w:t>
      </w:r>
    </w:p>
    <w:p w14:paraId="727BFE6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4303004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09" name="image6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" name="image68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10" name="image6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" name="image68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深圳市高二期中)</w:t>
      </w:r>
      <w:r>
        <w:rPr>
          <w:rFonts w:ascii="Times New Roman" w:hAnsi="Times New Roman"/>
          <w:w w:val="104"/>
        </w:rPr>
        <w:t>某实验小组测量一充电宝的电动势和内阻。从说明书可知该充电宝的电动势约为5 V，内阻很小，约0.1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0.3 Ω，最大放电电流为2 A。</w:t>
      </w:r>
    </w:p>
    <w:p w14:paraId="5CAC130C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265680" cy="2914015"/>
            <wp:effectExtent l="0" t="0" r="1270" b="635"/>
            <wp:docPr id="1311" name="image6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" name="image689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5680" cy="291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4B4C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(1)该小组想进一步精确测出该充电宝的电动势和内阻，实验室提供的器材如下：</w:t>
      </w:r>
    </w:p>
    <w:p w14:paraId="717054F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A.电压表V(量程为6 V，内阻约为5 kΩ)</w:t>
      </w:r>
    </w:p>
    <w:p w14:paraId="647213C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B.电流表A(量程为3 A，内阻约为0.6 Ω)</w:t>
      </w:r>
    </w:p>
    <w:p w14:paraId="4EEFC3D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C.滑动变阻器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(最大阻值为60 Ω)</w:t>
      </w:r>
    </w:p>
    <w:p w14:paraId="49BCF2D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D.定值电阻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=3 Ω</w:t>
      </w:r>
    </w:p>
    <w:p w14:paraId="4FE7FAA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E.一个开关及导线若干</w:t>
      </w:r>
    </w:p>
    <w:p w14:paraId="02CBF50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该小组设计了两种电路，图甲中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A电路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B电路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)更为合理。 </w:t>
      </w:r>
    </w:p>
    <w:p w14:paraId="1DF046D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(2)该小组通过调节滑动变阻器，测得多组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数据，并在坐标纸上描点，如图乙所示，请根据描出的点作出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图像。</w:t>
      </w:r>
    </w:p>
    <w:p w14:paraId="2BB88A5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(3)根据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图像，可求得该充电宝的电动势为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V，内阻为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Ω(结果均保留两位有效数字)。 </w:t>
      </w:r>
    </w:p>
    <w:p w14:paraId="633E40A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(4)根据误差分析，该充电宝的电动势的测量值比真实值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偏小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偏大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)，内阻的测量值比真实值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偏小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偏大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)。 </w:t>
      </w:r>
    </w:p>
    <w:p w14:paraId="2019B62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6E78AF"/>
    <w:rsid w:val="00720332"/>
    <w:rsid w:val="007B7E86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45ACB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DD23AE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  <w:rsid w:val="2129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qFormat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qFormat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qFormat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qFormat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qFormat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qFormat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qFormat/>
    <w:uiPriority w:val="0"/>
  </w:style>
  <w:style w:type="character" w:customStyle="1" w:styleId="21">
    <w:name w:val="脚注文本 Char"/>
    <w:link w:val="7"/>
    <w:semiHidden/>
    <w:qFormat/>
    <w:uiPriority w:val="99"/>
    <w:rPr>
      <w:sz w:val="18"/>
      <w:szCs w:val="18"/>
    </w:rPr>
  </w:style>
  <w:style w:type="paragraph" w:customStyle="1" w:styleId="22">
    <w:name w:val="[基本段落]"/>
    <w:basedOn w:val="23"/>
    <w:uiPriority w:val="0"/>
    <w:rPr>
      <w:rFonts w:eastAsia="宋体"/>
    </w:rPr>
  </w:style>
  <w:style w:type="paragraph" w:customStyle="1" w:styleId="23">
    <w:name w:val="[系统文字]"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qFormat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customXml" Target="../customXml/item4.xml"/><Relationship Id="rId22" Type="http://schemas.openxmlformats.org/officeDocument/2006/relationships/customXml" Target="../customXml/item3.xml"/><Relationship Id="rId21" Type="http://schemas.openxmlformats.org/officeDocument/2006/relationships/customXml" Target="../customXml/item2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tiff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4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D44014F0-FA2B-4576-A31B-EA517BAD0497}">
  <ds:schemaRefs/>
</ds:datastoreItem>
</file>

<file path=customXml/itemProps2.xml><?xml version="1.0" encoding="utf-8"?>
<ds:datastoreItem xmlns:ds="http://schemas.openxmlformats.org/officeDocument/2006/customXml" ds:itemID="{F8788689-C533-4448-945B-12F4B397B557}">
  <ds:schemaRefs/>
</ds:datastoreItem>
</file>

<file path=customXml/itemProps3.xml><?xml version="1.0" encoding="utf-8"?>
<ds:datastoreItem xmlns:ds="http://schemas.openxmlformats.org/officeDocument/2006/customXml" ds:itemID="{4B3307D3-B2C9-4FF8-8CBB-8B9570B3AA04}">
  <ds:schemaRefs/>
</ds:datastoreItem>
</file>

<file path=customXml/itemProps4.xml><?xml version="1.0" encoding="utf-8"?>
<ds:datastoreItem xmlns:ds="http://schemas.openxmlformats.org/officeDocument/2006/customXml" ds:itemID="{A6139CF6-5931-4AE5-A712-2A5998365C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5</Pages>
  <Words>3214</Words>
  <Characters>3582</Characters>
  <Lines>28</Lines>
  <Paragraphs>8</Paragraphs>
  <TotalTime>102</TotalTime>
  <ScaleCrop>false</ScaleCrop>
  <LinksUpToDate>false</LinksUpToDate>
  <CharactersWithSpaces>3779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2025-10-11T15:23:12Z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4F481AA8E18E4743A1ED395E38580E52_13</vt:lpwstr>
  </property>
</Properties>
</file>